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2"/>
              <w:tblW w:w="10461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1265"/>
              <w:gridCol w:w="888"/>
              <w:gridCol w:w="2025"/>
              <w:gridCol w:w="1273"/>
              <w:gridCol w:w="1010"/>
              <w:gridCol w:w="1230"/>
              <w:gridCol w:w="940"/>
              <w:gridCol w:w="137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评审中心经费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18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新乡县财政局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2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新乡县财政局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52</w:t>
                  </w:r>
                </w:p>
              </w:tc>
              <w:tc>
                <w:tcPr>
                  <w:tcW w:w="22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52</w:t>
                  </w:r>
                </w:p>
              </w:tc>
              <w:tc>
                <w:tcPr>
                  <w:tcW w:w="22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2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45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554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2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45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预算评审中心外聘人员工资。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2: 2021年度项目评审费。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554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预算评审中心外聘人员工资。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2: 2021年度项目评审费。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8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  <w:tc>
                <w:tcPr>
                  <w:tcW w:w="10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8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评审中心外聘工作人员工资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2名</w:t>
                  </w:r>
                </w:p>
              </w:tc>
              <w:tc>
                <w:tcPr>
                  <w:tcW w:w="101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评审中心外聘工作人员工资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2名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8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2021年度政府投资评审项目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29个</w:t>
                  </w:r>
                </w:p>
              </w:tc>
              <w:tc>
                <w:tcPr>
                  <w:tcW w:w="1010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2021年度政府投资评审项目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29个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工资发放合规性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合规</w:t>
                  </w:r>
                </w:p>
              </w:tc>
              <w:tc>
                <w:tcPr>
                  <w:tcW w:w="101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工资发放合规性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7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评审项目合格率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100%</w:t>
                  </w:r>
                </w:p>
              </w:tc>
              <w:tc>
                <w:tcPr>
                  <w:tcW w:w="101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评审项目合格率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每月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20日前发放工资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20日前</w:t>
                  </w:r>
                </w:p>
              </w:tc>
              <w:tc>
                <w:tcPr>
                  <w:tcW w:w="101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每月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20日前发放工资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20日前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支付项目评审费及时性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101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支付项目评审费及时性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评审中心外聘人员每人每年工资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6万元。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val="en-US" w:eastAsia="zh-CN"/>
                    </w:rPr>
                    <w:t>60000元/人</w:t>
                  </w:r>
                </w:p>
              </w:tc>
              <w:tc>
                <w:tcPr>
                  <w:tcW w:w="101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评审中心外聘人员每人每年工资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6万元。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val="en-US" w:eastAsia="zh-CN"/>
                    </w:rPr>
                    <w:t>60000元/人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2：项目评审费总支出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val="en-US" w:eastAsia="zh-CN"/>
                    </w:rPr>
                    <w:t>39.16万元</w:t>
                  </w:r>
                </w:p>
              </w:tc>
              <w:tc>
                <w:tcPr>
                  <w:tcW w:w="1010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2：项目评审费总支出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val="en-US" w:eastAsia="zh-CN"/>
                    </w:rPr>
                    <w:t>39.16万元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节约财政资金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节约</w:t>
                  </w:r>
                  <w:bookmarkStart w:id="0" w:name="_GoBack"/>
                  <w:bookmarkEnd w:id="0"/>
                </w:p>
              </w:tc>
              <w:tc>
                <w:tcPr>
                  <w:tcW w:w="10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节约财政资金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节约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23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1"/>
                    <w:keepNext w:val="0"/>
                    <w:keepLines w:val="0"/>
                    <w:widowControl/>
                    <w:suppressLineNumbers w:val="0"/>
                    <w:wordWrap w:val="0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提升评审服务质量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提升</w:t>
                  </w:r>
                </w:p>
              </w:tc>
              <w:tc>
                <w:tcPr>
                  <w:tcW w:w="10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1"/>
                    <w:keepNext w:val="0"/>
                    <w:keepLines w:val="0"/>
                    <w:widowControl/>
                    <w:suppressLineNumbers w:val="0"/>
                    <w:wordWrap w:val="0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提升评审服务质量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0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满意度指标</w:t>
                  </w:r>
                </w:p>
              </w:tc>
              <w:tc>
                <w:tcPr>
                  <w:tcW w:w="88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外聘人员满意度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90%</w:t>
                  </w:r>
                </w:p>
              </w:tc>
              <w:tc>
                <w:tcPr>
                  <w:tcW w:w="101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外聘人员满意度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65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8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0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val="en-US" w:eastAsia="zh-CN"/>
                    </w:rPr>
                    <w:t>2：项目单位满意度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90%</w:t>
                  </w:r>
                </w:p>
              </w:tc>
              <w:tc>
                <w:tcPr>
                  <w:tcW w:w="1010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1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val="en-US" w:eastAsia="zh-CN"/>
                    </w:rPr>
                    <w:t>2：项目单位满意度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052A56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AC30A74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5547D3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7B551B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C9F0E36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5710C65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3D94397"/>
    <w:rsid w:val="755D3DB4"/>
    <w:rsid w:val="77A44894"/>
    <w:rsid w:val="788B35BF"/>
    <w:rsid w:val="788F57D2"/>
    <w:rsid w:val="78AC4E0A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5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8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6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7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8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9">
    <w:name w:val="正文文本1"/>
    <w:basedOn w:val="1"/>
    <w:link w:val="21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0">
    <w:name w:val="正文文本 + 11 pt"/>
    <w:basedOn w:val="21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1">
    <w:name w:val="正文文本_"/>
    <w:basedOn w:val="14"/>
    <w:link w:val="19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2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59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DAISY1404364719</cp:lastModifiedBy>
  <dcterms:modified xsi:type="dcterms:W3CDTF">2022-03-11T02:57:44Z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